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C4" w:rsidRDefault="00AC607B">
      <w:pPr>
        <w:pStyle w:val="a3"/>
        <w:spacing w:before="23"/>
        <w:ind w:left="0" w:right="132"/>
        <w:jc w:val="right"/>
      </w:pPr>
      <w:r>
        <w:rPr>
          <w:w w:val="105"/>
        </w:rPr>
        <w:t>Հ</w:t>
      </w:r>
      <w:r w:rsidR="007A78A8">
        <w:rPr>
          <w:w w:val="105"/>
        </w:rPr>
        <w:t>ավելված</w:t>
      </w:r>
    </w:p>
    <w:p w:rsidR="00BA2DC4" w:rsidRDefault="00467071">
      <w:pPr>
        <w:pStyle w:val="a3"/>
        <w:tabs>
          <w:tab w:val="left" w:leader="underscore" w:pos="7945"/>
        </w:tabs>
        <w:spacing w:before="173"/>
        <w:ind w:left="6439"/>
      </w:pPr>
      <w:r>
        <w:t xml:space="preserve">Արտաշատ </w:t>
      </w:r>
      <w:r w:rsidR="007A78A8">
        <w:t>համայնքի</w:t>
      </w:r>
      <w:r w:rsidR="007A78A8">
        <w:rPr>
          <w:spacing w:val="85"/>
        </w:rPr>
        <w:t xml:space="preserve"> </w:t>
      </w:r>
      <w:r w:rsidR="007A78A8">
        <w:t>ավագանու</w:t>
      </w:r>
    </w:p>
    <w:p w:rsidR="00BA2DC4" w:rsidRDefault="007A78A8">
      <w:pPr>
        <w:pStyle w:val="a3"/>
        <w:tabs>
          <w:tab w:val="left" w:leader="underscore" w:pos="8072"/>
          <w:tab w:val="left" w:pos="9248"/>
        </w:tabs>
        <w:spacing w:before="172"/>
        <w:ind w:left="6374"/>
      </w:pPr>
      <w:r>
        <w:rPr>
          <w:w w:val="105"/>
        </w:rPr>
        <w:t>«___»</w:t>
      </w:r>
      <w:r>
        <w:rPr>
          <w:spacing w:val="-5"/>
          <w:w w:val="105"/>
        </w:rPr>
        <w:t xml:space="preserve"> </w:t>
      </w:r>
      <w:r w:rsidR="000B515F">
        <w:rPr>
          <w:spacing w:val="-5"/>
          <w:w w:val="105"/>
          <w:lang w:val="ru-RU"/>
        </w:rPr>
        <w:t>հու</w:t>
      </w:r>
      <w:r w:rsidR="000B515F">
        <w:rPr>
          <w:spacing w:val="-5"/>
          <w:w w:val="105"/>
          <w:lang w:val="hy-AM"/>
        </w:rPr>
        <w:t>ն</w:t>
      </w:r>
      <w:r w:rsidR="00C0539F">
        <w:rPr>
          <w:spacing w:val="-5"/>
          <w:w w:val="105"/>
          <w:lang w:val="ru-RU"/>
        </w:rPr>
        <w:t>իս</w:t>
      </w:r>
      <w:r>
        <w:rPr>
          <w:w w:val="105"/>
        </w:rPr>
        <w:t>ի</w:t>
      </w:r>
      <w:r w:rsidR="00467071">
        <w:rPr>
          <w:w w:val="105"/>
        </w:rPr>
        <w:t xml:space="preserve"> 2022 </w:t>
      </w:r>
      <w:r>
        <w:rPr>
          <w:w w:val="105"/>
        </w:rPr>
        <w:t>թվականի</w:t>
      </w:r>
    </w:p>
    <w:p w:rsidR="00BA2DC4" w:rsidRDefault="00AC607B">
      <w:pPr>
        <w:pStyle w:val="a3"/>
        <w:spacing w:before="172"/>
        <w:ind w:left="0" w:right="128"/>
        <w:jc w:val="right"/>
      </w:pPr>
      <w:r>
        <w:t xml:space="preserve">N   </w:t>
      </w:r>
      <w:r w:rsidR="003F0DF3" w:rsidRPr="000B515F">
        <w:t>-</w:t>
      </w:r>
      <w:r>
        <w:rPr>
          <w:lang w:val="ru-RU"/>
        </w:rPr>
        <w:t>Լ</w:t>
      </w:r>
      <w:r w:rsidR="007A78A8">
        <w:rPr>
          <w:spacing w:val="63"/>
        </w:rPr>
        <w:t xml:space="preserve"> </w:t>
      </w:r>
      <w:r w:rsidR="007A78A8">
        <w:t>որոշման</w:t>
      </w:r>
    </w:p>
    <w:p w:rsidR="00BA2DC4" w:rsidRPr="00555AEF" w:rsidRDefault="00BA2DC4">
      <w:pPr>
        <w:pStyle w:val="a3"/>
        <w:ind w:left="0"/>
        <w:rPr>
          <w:b/>
          <w:sz w:val="24"/>
        </w:rPr>
      </w:pPr>
    </w:p>
    <w:p w:rsidR="00BA2DC4" w:rsidRPr="00555AEF" w:rsidRDefault="00BA2DC4">
      <w:pPr>
        <w:pStyle w:val="a3"/>
        <w:spacing w:before="9"/>
        <w:ind w:left="0"/>
        <w:rPr>
          <w:b/>
          <w:sz w:val="24"/>
        </w:rPr>
      </w:pPr>
    </w:p>
    <w:p w:rsidR="00BA2DC4" w:rsidRPr="00555AEF" w:rsidRDefault="007A78A8">
      <w:pPr>
        <w:pStyle w:val="a3"/>
        <w:ind w:left="0" w:right="11"/>
        <w:jc w:val="center"/>
        <w:rPr>
          <w:b/>
        </w:rPr>
      </w:pPr>
      <w:r w:rsidRPr="00555AEF">
        <w:rPr>
          <w:b/>
          <w:w w:val="105"/>
        </w:rPr>
        <w:t>ԿԱՐԳ</w:t>
      </w:r>
    </w:p>
    <w:p w:rsidR="00BA2DC4" w:rsidRPr="00555AEF" w:rsidRDefault="007A78A8">
      <w:pPr>
        <w:pStyle w:val="a3"/>
        <w:spacing w:before="173" w:line="376" w:lineRule="auto"/>
        <w:ind w:left="0" w:right="16"/>
        <w:jc w:val="center"/>
        <w:rPr>
          <w:b/>
        </w:rPr>
      </w:pPr>
      <w:r w:rsidRPr="00555AEF">
        <w:rPr>
          <w:b/>
        </w:rPr>
        <w:t>ՏԵՂԱԿԱՆ ԻՆՔՆԱԿԱՌԱՎԱՐՄԱՆ</w:t>
      </w:r>
      <w:r w:rsidRPr="00555AEF">
        <w:rPr>
          <w:b/>
          <w:spacing w:val="1"/>
        </w:rPr>
        <w:t xml:space="preserve"> </w:t>
      </w:r>
      <w:r w:rsidRPr="00555AEF">
        <w:rPr>
          <w:b/>
        </w:rPr>
        <w:t>ՄԱՐՄԻՆՆԵՐԻ</w:t>
      </w:r>
      <w:r w:rsidRPr="00555AEF">
        <w:rPr>
          <w:b/>
          <w:spacing w:val="1"/>
        </w:rPr>
        <w:t xml:space="preserve"> </w:t>
      </w:r>
      <w:r w:rsidRPr="00555AEF">
        <w:rPr>
          <w:b/>
        </w:rPr>
        <w:t>ԿՈՂՄԻՑ</w:t>
      </w:r>
      <w:r w:rsidRPr="00555AEF">
        <w:rPr>
          <w:b/>
          <w:spacing w:val="1"/>
        </w:rPr>
        <w:t xml:space="preserve"> </w:t>
      </w:r>
      <w:r w:rsidRPr="00555AEF">
        <w:rPr>
          <w:b/>
        </w:rPr>
        <w:t>ԸՆԴՈՒՆՎԱԾ</w:t>
      </w:r>
      <w:r w:rsidRPr="00555AEF">
        <w:rPr>
          <w:b/>
          <w:spacing w:val="1"/>
        </w:rPr>
        <w:t xml:space="preserve"> </w:t>
      </w:r>
      <w:r w:rsidRPr="00555AEF">
        <w:rPr>
          <w:b/>
        </w:rPr>
        <w:t>ՆՈՐՄԱՏԻՎ</w:t>
      </w:r>
      <w:r w:rsidRPr="00555AEF">
        <w:rPr>
          <w:b/>
          <w:spacing w:val="-55"/>
        </w:rPr>
        <w:t xml:space="preserve"> </w:t>
      </w:r>
      <w:r w:rsidRPr="00555AEF">
        <w:rPr>
          <w:b/>
          <w:w w:val="105"/>
        </w:rPr>
        <w:t>ԻՐԱՎԱԿԱՆ</w:t>
      </w:r>
      <w:r w:rsidRPr="00555AEF">
        <w:rPr>
          <w:b/>
          <w:spacing w:val="-6"/>
          <w:w w:val="105"/>
        </w:rPr>
        <w:t xml:space="preserve"> </w:t>
      </w:r>
      <w:r w:rsidRPr="00555AEF">
        <w:rPr>
          <w:b/>
          <w:w w:val="105"/>
        </w:rPr>
        <w:t>ԱԿՏԵՐԻ</w:t>
      </w:r>
      <w:r w:rsidRPr="00555AEF">
        <w:rPr>
          <w:b/>
          <w:spacing w:val="-2"/>
          <w:w w:val="105"/>
        </w:rPr>
        <w:t xml:space="preserve"> </w:t>
      </w:r>
      <w:r w:rsidRPr="00555AEF">
        <w:rPr>
          <w:b/>
          <w:w w:val="105"/>
        </w:rPr>
        <w:t>ՀԱՇՎԱՌՄԱՆ</w:t>
      </w:r>
      <w:r w:rsidRPr="00555AEF">
        <w:rPr>
          <w:b/>
          <w:spacing w:val="-5"/>
          <w:w w:val="105"/>
        </w:rPr>
        <w:t xml:space="preserve"> </w:t>
      </w:r>
      <w:r w:rsidRPr="00555AEF">
        <w:rPr>
          <w:b/>
          <w:w w:val="105"/>
        </w:rPr>
        <w:t>ԵՎ</w:t>
      </w:r>
      <w:r w:rsidRPr="00555AEF">
        <w:rPr>
          <w:b/>
          <w:spacing w:val="-4"/>
          <w:w w:val="105"/>
        </w:rPr>
        <w:t xml:space="preserve"> </w:t>
      </w:r>
      <w:r w:rsidRPr="00555AEF">
        <w:rPr>
          <w:b/>
          <w:w w:val="105"/>
        </w:rPr>
        <w:t>ՊԱՀՊԱՆՄԱՆ</w:t>
      </w:r>
    </w:p>
    <w:p w:rsidR="00BA2DC4" w:rsidRDefault="00BA2DC4">
      <w:pPr>
        <w:pStyle w:val="a3"/>
        <w:ind w:left="0"/>
        <w:rPr>
          <w:sz w:val="24"/>
        </w:rPr>
      </w:pPr>
    </w:p>
    <w:p w:rsidR="00BA2DC4" w:rsidRDefault="007A78A8">
      <w:pPr>
        <w:pStyle w:val="a5"/>
        <w:numPr>
          <w:ilvl w:val="0"/>
          <w:numId w:val="2"/>
        </w:numPr>
        <w:tabs>
          <w:tab w:val="left" w:pos="410"/>
        </w:tabs>
        <w:spacing w:before="159" w:line="374" w:lineRule="auto"/>
        <w:ind w:right="117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Սույն կարգով կարգավորվում են տեղական ինքնակառավարման մարմինների կողմից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ընդունված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նորմատիվ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ակտերի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հաշվառման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և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պահպանման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հետ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կապված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հարաբերությունները։</w:t>
      </w:r>
    </w:p>
    <w:p w:rsidR="00BA2DC4" w:rsidRDefault="00467071">
      <w:pPr>
        <w:pStyle w:val="a5"/>
        <w:numPr>
          <w:ilvl w:val="0"/>
          <w:numId w:val="2"/>
        </w:numPr>
        <w:tabs>
          <w:tab w:val="left" w:pos="625"/>
          <w:tab w:val="left" w:pos="626"/>
          <w:tab w:val="left" w:pos="2412"/>
          <w:tab w:val="left" w:pos="3874"/>
          <w:tab w:val="left" w:pos="6021"/>
          <w:tab w:val="left" w:pos="7685"/>
          <w:tab w:val="left" w:pos="8140"/>
          <w:tab w:val="left" w:pos="9206"/>
        </w:tabs>
        <w:spacing w:before="2"/>
        <w:ind w:left="625" w:hanging="520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Արտաշատ </w:t>
      </w:r>
      <w:r w:rsidR="007A78A8">
        <w:rPr>
          <w:w w:val="105"/>
          <w:sz w:val="23"/>
          <w:szCs w:val="23"/>
        </w:rPr>
        <w:t>համայնքի</w:t>
      </w:r>
      <w:r>
        <w:rPr>
          <w:w w:val="105"/>
          <w:sz w:val="23"/>
          <w:szCs w:val="23"/>
        </w:rPr>
        <w:t xml:space="preserve"> </w:t>
      </w:r>
      <w:r w:rsidR="007A78A8">
        <w:rPr>
          <w:w w:val="105"/>
          <w:sz w:val="23"/>
          <w:szCs w:val="23"/>
        </w:rPr>
        <w:t>աշխատակազմը</w:t>
      </w:r>
      <w:r>
        <w:rPr>
          <w:w w:val="105"/>
          <w:sz w:val="23"/>
          <w:szCs w:val="23"/>
        </w:rPr>
        <w:t xml:space="preserve"> </w:t>
      </w:r>
      <w:r w:rsidR="007A78A8">
        <w:rPr>
          <w:w w:val="105"/>
          <w:sz w:val="23"/>
          <w:szCs w:val="23"/>
        </w:rPr>
        <w:t>պարտավոր</w:t>
      </w:r>
      <w:r>
        <w:rPr>
          <w:w w:val="105"/>
          <w:sz w:val="23"/>
          <w:szCs w:val="23"/>
        </w:rPr>
        <w:t xml:space="preserve"> </w:t>
      </w:r>
      <w:r w:rsidR="007A78A8">
        <w:rPr>
          <w:w w:val="105"/>
          <w:sz w:val="23"/>
          <w:szCs w:val="23"/>
        </w:rPr>
        <w:t>է</w:t>
      </w:r>
      <w:r>
        <w:rPr>
          <w:w w:val="105"/>
          <w:sz w:val="23"/>
          <w:szCs w:val="23"/>
        </w:rPr>
        <w:t xml:space="preserve"> </w:t>
      </w:r>
      <w:r w:rsidR="007A78A8">
        <w:rPr>
          <w:w w:val="105"/>
          <w:sz w:val="23"/>
          <w:szCs w:val="23"/>
        </w:rPr>
        <w:t>պահել</w:t>
      </w:r>
      <w:r>
        <w:rPr>
          <w:w w:val="105"/>
          <w:sz w:val="23"/>
          <w:szCs w:val="23"/>
        </w:rPr>
        <w:t xml:space="preserve"> </w:t>
      </w:r>
      <w:r w:rsidR="007A78A8">
        <w:rPr>
          <w:w w:val="105"/>
          <w:sz w:val="23"/>
          <w:szCs w:val="23"/>
        </w:rPr>
        <w:t>տեղական</w:t>
      </w:r>
    </w:p>
    <w:p w:rsidR="00BA2DC4" w:rsidRDefault="00BA2DC4">
      <w:pPr>
        <w:pStyle w:val="a3"/>
        <w:spacing w:before="10"/>
        <w:ind w:left="0"/>
        <w:rPr>
          <w:sz w:val="9"/>
        </w:rPr>
      </w:pPr>
    </w:p>
    <w:p w:rsidR="00BA2DC4" w:rsidRDefault="007A78A8">
      <w:pPr>
        <w:pStyle w:val="a3"/>
        <w:spacing w:before="44" w:line="376" w:lineRule="auto"/>
      </w:pPr>
      <w:proofErr w:type="gramStart"/>
      <w:r>
        <w:rPr>
          <w:w w:val="105"/>
        </w:rPr>
        <w:t>ինքնակառավարման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մարմինների</w:t>
      </w:r>
      <w:r>
        <w:rPr>
          <w:spacing w:val="1"/>
          <w:w w:val="105"/>
        </w:rPr>
        <w:t xml:space="preserve"> </w:t>
      </w:r>
      <w:r>
        <w:rPr>
          <w:w w:val="105"/>
        </w:rPr>
        <w:t>կողմից</w:t>
      </w:r>
      <w:r>
        <w:rPr>
          <w:spacing w:val="1"/>
          <w:w w:val="105"/>
        </w:rPr>
        <w:t xml:space="preserve"> </w:t>
      </w:r>
      <w:r>
        <w:rPr>
          <w:w w:val="105"/>
        </w:rPr>
        <w:t>ընդունված</w:t>
      </w:r>
      <w:r>
        <w:rPr>
          <w:spacing w:val="1"/>
          <w:w w:val="105"/>
        </w:rPr>
        <w:t xml:space="preserve"> </w:t>
      </w:r>
      <w:r>
        <w:rPr>
          <w:w w:val="105"/>
        </w:rPr>
        <w:t>նորմատիվ</w:t>
      </w:r>
      <w:r>
        <w:rPr>
          <w:spacing w:val="1"/>
          <w:w w:val="105"/>
        </w:rPr>
        <w:t xml:space="preserve"> </w:t>
      </w:r>
      <w:r>
        <w:rPr>
          <w:w w:val="105"/>
        </w:rPr>
        <w:t>իրավական</w:t>
      </w:r>
      <w:r>
        <w:rPr>
          <w:spacing w:val="1"/>
          <w:w w:val="105"/>
        </w:rPr>
        <w:t xml:space="preserve"> </w:t>
      </w:r>
      <w:r>
        <w:rPr>
          <w:w w:val="105"/>
        </w:rPr>
        <w:t>ակտերի</w:t>
      </w:r>
      <w:r>
        <w:rPr>
          <w:spacing w:val="-58"/>
          <w:w w:val="105"/>
        </w:rPr>
        <w:t xml:space="preserve"> </w:t>
      </w:r>
      <w:r>
        <w:rPr>
          <w:w w:val="105"/>
        </w:rPr>
        <w:t>հաշվառման</w:t>
      </w:r>
      <w:r>
        <w:rPr>
          <w:spacing w:val="58"/>
          <w:w w:val="105"/>
        </w:rPr>
        <w:t xml:space="preserve"> </w:t>
      </w:r>
      <w:r>
        <w:rPr>
          <w:w w:val="105"/>
        </w:rPr>
        <w:t>միասնական</w:t>
      </w:r>
      <w:r>
        <w:rPr>
          <w:spacing w:val="3"/>
          <w:w w:val="105"/>
        </w:rPr>
        <w:t xml:space="preserve"> </w:t>
      </w:r>
      <w:r>
        <w:rPr>
          <w:w w:val="105"/>
        </w:rPr>
        <w:t>էլեկտրոնային</w:t>
      </w:r>
      <w:r>
        <w:rPr>
          <w:spacing w:val="5"/>
          <w:w w:val="105"/>
        </w:rPr>
        <w:t xml:space="preserve"> </w:t>
      </w:r>
      <w:r>
        <w:rPr>
          <w:w w:val="105"/>
        </w:rPr>
        <w:t>մատյան</w:t>
      </w:r>
      <w:r>
        <w:rPr>
          <w:spacing w:val="2"/>
          <w:w w:val="105"/>
        </w:rPr>
        <w:t xml:space="preserve"> </w:t>
      </w:r>
      <w:r>
        <w:rPr>
          <w:w w:val="105"/>
        </w:rPr>
        <w:t>(այսուհետ`</w:t>
      </w:r>
      <w:r>
        <w:rPr>
          <w:spacing w:val="-2"/>
          <w:w w:val="105"/>
        </w:rPr>
        <w:t xml:space="preserve"> </w:t>
      </w:r>
      <w:r>
        <w:rPr>
          <w:w w:val="105"/>
        </w:rPr>
        <w:t>մատյան)։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345"/>
        </w:tabs>
        <w:spacing w:line="303" w:lineRule="exact"/>
        <w:ind w:left="344" w:hanging="239"/>
        <w:rPr>
          <w:sz w:val="23"/>
          <w:szCs w:val="23"/>
        </w:rPr>
      </w:pPr>
      <w:r>
        <w:rPr>
          <w:w w:val="105"/>
          <w:sz w:val="23"/>
          <w:szCs w:val="23"/>
        </w:rPr>
        <w:t>Մատյանում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ըստ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հերթականության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լրացվում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են՝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2"/>
        <w:ind w:hanging="361"/>
        <w:rPr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նորմատիվ</w:t>
      </w:r>
      <w:proofErr w:type="gramEnd"/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հաշվառման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հերթական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համարը.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3"/>
        <w:ind w:hanging="361"/>
        <w:rPr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նորմատիվ</w:t>
      </w:r>
      <w:proofErr w:type="gramEnd"/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ակտն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ընդունող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մարմինը.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65"/>
        <w:ind w:hanging="361"/>
        <w:rPr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նորմատիվ</w:t>
      </w:r>
      <w:proofErr w:type="gramEnd"/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տեսակը.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3"/>
        <w:ind w:hanging="361"/>
        <w:rPr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նորմատիվ</w:t>
      </w:r>
      <w:proofErr w:type="gramEnd"/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վերնագիրը.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2"/>
        <w:ind w:hanging="361"/>
        <w:rPr>
          <w:sz w:val="23"/>
          <w:szCs w:val="23"/>
        </w:rPr>
      </w:pPr>
      <w:proofErr w:type="gramStart"/>
      <w:r>
        <w:rPr>
          <w:sz w:val="23"/>
          <w:szCs w:val="23"/>
        </w:rPr>
        <w:t>նորմատիվ</w:t>
      </w:r>
      <w:proofErr w:type="gramEnd"/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իրավական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ակտի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ընդունման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տարին,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ամիսը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(տառերով),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ամսաթիվը.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3"/>
        <w:ind w:hanging="361"/>
        <w:rPr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նորմատիվ</w:t>
      </w:r>
      <w:proofErr w:type="gramEnd"/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հերթական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համարը.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2"/>
        <w:ind w:hanging="361"/>
        <w:rPr>
          <w:sz w:val="23"/>
          <w:szCs w:val="23"/>
        </w:rPr>
      </w:pPr>
      <w:proofErr w:type="gramStart"/>
      <w:r>
        <w:rPr>
          <w:sz w:val="23"/>
          <w:szCs w:val="23"/>
        </w:rPr>
        <w:t>նորմատիվ</w:t>
      </w:r>
      <w:proofErr w:type="gramEnd"/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իրավական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ակտի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ստորագրման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տարին,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ամիսը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(տառերով),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ամսաթիվը.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173" w:line="372" w:lineRule="auto"/>
        <w:ind w:right="132"/>
        <w:rPr>
          <w:sz w:val="23"/>
          <w:szCs w:val="23"/>
        </w:rPr>
      </w:pPr>
      <w:proofErr w:type="gramStart"/>
      <w:r>
        <w:rPr>
          <w:w w:val="105"/>
          <w:sz w:val="23"/>
          <w:szCs w:val="23"/>
        </w:rPr>
        <w:t>նորմատիվ</w:t>
      </w:r>
      <w:proofErr w:type="gramEnd"/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հրապարակման,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դրա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ուժի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մեջ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մտնելու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տարին,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ամիսը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(տառերով),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ամսաթիվը.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5" w:line="376" w:lineRule="auto"/>
        <w:ind w:right="119"/>
        <w:rPr>
          <w:sz w:val="23"/>
          <w:szCs w:val="23"/>
        </w:rPr>
      </w:pPr>
      <w:r>
        <w:rPr>
          <w:sz w:val="23"/>
          <w:szCs w:val="23"/>
        </w:rPr>
        <w:t>նորմատիվ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իրավական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ակտի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գործողության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դադարեցման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տարին,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ամիսը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(տառերով),</w:t>
      </w:r>
      <w:r>
        <w:rPr>
          <w:spacing w:val="-5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ամսաթիվը:</w:t>
      </w: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line="376" w:lineRule="auto"/>
        <w:ind w:right="123"/>
        <w:rPr>
          <w:sz w:val="23"/>
          <w:szCs w:val="23"/>
        </w:rPr>
      </w:pPr>
      <w:r>
        <w:rPr>
          <w:w w:val="105"/>
          <w:sz w:val="23"/>
          <w:szCs w:val="23"/>
        </w:rPr>
        <w:t>նորմատիվ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նախագիծը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պետական-իրավական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փորձաքննության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ուղարկելու տարին,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ամիսը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(տառերով),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ամսաթիվը,</w:t>
      </w:r>
    </w:p>
    <w:p w:rsidR="00BA2DC4" w:rsidRDefault="00BA2DC4">
      <w:pPr>
        <w:spacing w:line="376" w:lineRule="auto"/>
        <w:rPr>
          <w:sz w:val="23"/>
          <w:szCs w:val="23"/>
        </w:rPr>
        <w:sectPr w:rsidR="00BA2DC4">
          <w:footerReference w:type="default" r:id="rId8"/>
          <w:pgSz w:w="12240" w:h="15840"/>
          <w:pgMar w:top="840" w:right="720" w:bottom="1200" w:left="1060" w:header="0" w:footer="1012" w:gutter="0"/>
          <w:pgNumType w:start="2"/>
          <w:cols w:space="720"/>
        </w:sectPr>
      </w:pPr>
    </w:p>
    <w:p w:rsidR="00BA2DC4" w:rsidRDefault="007A78A8">
      <w:pPr>
        <w:pStyle w:val="a5"/>
        <w:numPr>
          <w:ilvl w:val="1"/>
          <w:numId w:val="2"/>
        </w:numPr>
        <w:tabs>
          <w:tab w:val="left" w:pos="828"/>
        </w:tabs>
        <w:spacing w:before="23" w:line="376" w:lineRule="auto"/>
        <w:ind w:right="118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lastRenderedPageBreak/>
        <w:t>նորմատիվ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նախագծի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մասին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պետական-իրավական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փորձագիտական եզրակացություն տալու տարին, ամիսը (տառերով), ամսաթիվը, իսկ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օրենքով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սահմանված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ժամկետներում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փորձագիտական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եզրակացություն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չտրամադրելու դեպքում՝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նշում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այդ մասին: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290"/>
        </w:tabs>
        <w:spacing w:line="374" w:lineRule="auto"/>
        <w:ind w:right="117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Պետական-իրավական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փորձաքննության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ոչ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ենթակա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համայնքային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բյուջեների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վերաբաշխման,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դրանում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առաջարկվող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փոփոխությունների,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ինչպես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նաև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բյուջեի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կատարումն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ապահովող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միջոցառումների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վերաբերյալ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համայնքի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ավագանու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կողմից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ընդունված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նորմատիվ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ակտերը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միասնական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էլեկտրոնային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մատյանում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հաշվառելիս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սույն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կարգի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3-րդ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կետի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10-րդ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և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11-րդ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ենթակետերով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պահանջվող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տեղեկատվությունը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չի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նշվում: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345"/>
        </w:tabs>
        <w:spacing w:before="10"/>
        <w:ind w:left="344" w:hanging="239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Մատյաններում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կարող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են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նախատեսվել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նաև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այլ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նշումներ։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439"/>
        </w:tabs>
        <w:spacing w:before="165" w:line="376" w:lineRule="auto"/>
        <w:ind w:right="119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Մատյանի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հաշվառման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համարների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հերթականությունը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վերսկսվում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յուրաքանչյուր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տարվա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հունվարի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1-ից։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345"/>
        </w:tabs>
        <w:ind w:left="344" w:hanging="239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Մատյանում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նշումները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պետք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կատարվեն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առանց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կրճատումների: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389"/>
        </w:tabs>
        <w:spacing w:before="173" w:line="376" w:lineRule="auto"/>
        <w:ind w:right="118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Տեղական ինքնակառավարման մարմինների կողմից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ընդունված նորմատիվ 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ակտերը հաշվառվում, այնուհետև սահմանված կարգով արխիվացվում և պահպանվում են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համայնքի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աշխատակազմի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արխիվում,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իսկ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սահմանված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ժամկետների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ավարտից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հետո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մշտական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պահպանության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հանձնվում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պետական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կամ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համայնքային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արխիվ: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417"/>
        </w:tabs>
        <w:spacing w:line="376" w:lineRule="auto"/>
        <w:ind w:right="117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Սույն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կարգը տարածվում է նաև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տեղական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ինքնակառավարման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մարմինների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կողմից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ընդունված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ներքին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(լոկալ)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և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անհատական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իրավական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ակտերի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հաշվառման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և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պահպանման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վրա: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489"/>
        </w:tabs>
        <w:spacing w:line="374" w:lineRule="auto"/>
        <w:ind w:right="126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Տեղական ինքնակառավարման մարմինների կողմից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ընդունված նորմատիվ իրավական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ակտերի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հաշվառման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մատյանից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տեղեկություններ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կարող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են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տրամադրվել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իրավաբանական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և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ֆիզիկական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անձանց: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Մատյանից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գրավոր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տեղեկություններ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կարող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են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տրվել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առձեռն,</w:t>
      </w:r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փոստով,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ինչպես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նաև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էլեկտրոնային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կապի այլ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միջոցներով:</w:t>
      </w:r>
    </w:p>
    <w:p w:rsidR="00BA2DC4" w:rsidRDefault="007A78A8">
      <w:pPr>
        <w:pStyle w:val="a5"/>
        <w:numPr>
          <w:ilvl w:val="0"/>
          <w:numId w:val="2"/>
        </w:numPr>
        <w:tabs>
          <w:tab w:val="left" w:pos="669"/>
        </w:tabs>
        <w:spacing w:line="376" w:lineRule="auto"/>
        <w:ind w:right="121" w:firstLine="0"/>
        <w:jc w:val="both"/>
        <w:rPr>
          <w:sz w:val="23"/>
          <w:szCs w:val="23"/>
        </w:rPr>
      </w:pPr>
      <w:r>
        <w:rPr>
          <w:w w:val="105"/>
          <w:sz w:val="23"/>
          <w:szCs w:val="23"/>
        </w:rPr>
        <w:t>Մատյանից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տեղեկություններ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տալու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համար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համայնքի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ավագանու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որոշմամբ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սահմանված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կարգով և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չափով կարող է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գանձվել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տեղական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վճար:</w:t>
      </w:r>
    </w:p>
    <w:p w:rsidR="00BA2DC4" w:rsidRDefault="00BA2DC4">
      <w:pPr>
        <w:spacing w:line="376" w:lineRule="auto"/>
        <w:jc w:val="both"/>
        <w:rPr>
          <w:sz w:val="23"/>
          <w:szCs w:val="23"/>
          <w:lang w:val="hy-AM"/>
        </w:rPr>
      </w:pPr>
    </w:p>
    <w:p w:rsidR="009A0AB4" w:rsidRDefault="009A0AB4">
      <w:pPr>
        <w:pStyle w:val="a3"/>
        <w:spacing w:before="23"/>
        <w:ind w:left="0" w:right="11"/>
        <w:jc w:val="center"/>
        <w:rPr>
          <w:b/>
          <w:w w:val="105"/>
          <w:lang w:val="hy-AM"/>
        </w:rPr>
      </w:pPr>
      <w:bookmarkStart w:id="0" w:name="_GoBack"/>
      <w:bookmarkEnd w:id="0"/>
    </w:p>
    <w:sectPr w:rsidR="009A0AB4">
      <w:pgSz w:w="12240" w:h="15840"/>
      <w:pgMar w:top="840" w:right="720" w:bottom="1200" w:left="10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EE" w:rsidRDefault="005C5CEE">
      <w:r>
        <w:separator/>
      </w:r>
    </w:p>
  </w:endnote>
  <w:endnote w:type="continuationSeparator" w:id="0">
    <w:p w:rsidR="005C5CEE" w:rsidRDefault="005C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C4" w:rsidRDefault="005C5CE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45pt;margin-top:730.4pt;width:11.7pt;height:13.2pt;z-index:-251658752;mso-position-horizontal-relative:page;mso-position-vertical-relative:page" filled="f" stroked="f">
          <v:textbox inset="0,0,0,0">
            <w:txbxContent>
              <w:p w:rsidR="00BA2DC4" w:rsidRDefault="007A78A8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5C3C35">
                  <w:rPr>
                    <w:rFonts w:ascii="Calibri"/>
                    <w:noProof/>
                    <w:w w:val="10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EE" w:rsidRDefault="005C5CEE">
      <w:r>
        <w:separator/>
      </w:r>
    </w:p>
  </w:footnote>
  <w:footnote w:type="continuationSeparator" w:id="0">
    <w:p w:rsidR="005C5CEE" w:rsidRDefault="005C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616"/>
    <w:multiLevelType w:val="hybridMultilevel"/>
    <w:tmpl w:val="998C32CC"/>
    <w:lvl w:ilvl="0" w:tplc="0E7058D8">
      <w:start w:val="1"/>
      <w:numFmt w:val="decimal"/>
      <w:lvlText w:val="%1."/>
      <w:lvlJc w:val="left"/>
      <w:pPr>
        <w:ind w:left="106" w:hanging="303"/>
        <w:jc w:val="left"/>
      </w:pPr>
      <w:rPr>
        <w:rFonts w:ascii="Sylfaen" w:eastAsia="Sylfaen" w:hAnsi="Sylfaen" w:cs="Sylfaen" w:hint="default"/>
        <w:spacing w:val="0"/>
        <w:w w:val="103"/>
        <w:sz w:val="23"/>
        <w:szCs w:val="23"/>
      </w:rPr>
    </w:lvl>
    <w:lvl w:ilvl="1" w:tplc="AE00C95A">
      <w:start w:val="1"/>
      <w:numFmt w:val="decimal"/>
      <w:lvlText w:val="%2)"/>
      <w:lvlJc w:val="left"/>
      <w:pPr>
        <w:ind w:left="827" w:hanging="360"/>
        <w:jc w:val="left"/>
      </w:pPr>
      <w:rPr>
        <w:rFonts w:ascii="Sylfaen" w:eastAsia="Sylfaen" w:hAnsi="Sylfaen" w:cs="Sylfaen" w:hint="default"/>
        <w:spacing w:val="0"/>
        <w:w w:val="103"/>
        <w:sz w:val="23"/>
        <w:szCs w:val="23"/>
      </w:rPr>
    </w:lvl>
    <w:lvl w:ilvl="2" w:tplc="0CA8E37A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3B2A271C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E38E6A30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245C3F48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FEDA792C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4100530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786E9CAC"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1">
    <w:nsid w:val="53940E4C"/>
    <w:multiLevelType w:val="hybridMultilevel"/>
    <w:tmpl w:val="3306B2DC"/>
    <w:lvl w:ilvl="0" w:tplc="20FE2690">
      <w:start w:val="1"/>
      <w:numFmt w:val="decimal"/>
      <w:lvlText w:val="%1."/>
      <w:lvlJc w:val="left"/>
      <w:pPr>
        <w:ind w:left="704" w:hanging="238"/>
        <w:jc w:val="left"/>
      </w:pPr>
      <w:rPr>
        <w:rFonts w:ascii="Sylfaen" w:eastAsia="Sylfaen" w:hAnsi="Sylfaen" w:cs="Sylfaen" w:hint="default"/>
        <w:spacing w:val="0"/>
        <w:w w:val="103"/>
        <w:sz w:val="23"/>
        <w:szCs w:val="23"/>
      </w:rPr>
    </w:lvl>
    <w:lvl w:ilvl="1" w:tplc="BE9614B2">
      <w:numFmt w:val="bullet"/>
      <w:lvlText w:val="•"/>
      <w:lvlJc w:val="left"/>
      <w:pPr>
        <w:ind w:left="1676" w:hanging="238"/>
      </w:pPr>
      <w:rPr>
        <w:rFonts w:hint="default"/>
      </w:rPr>
    </w:lvl>
    <w:lvl w:ilvl="2" w:tplc="32E0293C">
      <w:numFmt w:val="bullet"/>
      <w:lvlText w:val="•"/>
      <w:lvlJc w:val="left"/>
      <w:pPr>
        <w:ind w:left="2652" w:hanging="238"/>
      </w:pPr>
      <w:rPr>
        <w:rFonts w:hint="default"/>
      </w:rPr>
    </w:lvl>
    <w:lvl w:ilvl="3" w:tplc="4DE492DC">
      <w:numFmt w:val="bullet"/>
      <w:lvlText w:val="•"/>
      <w:lvlJc w:val="left"/>
      <w:pPr>
        <w:ind w:left="3628" w:hanging="238"/>
      </w:pPr>
      <w:rPr>
        <w:rFonts w:hint="default"/>
      </w:rPr>
    </w:lvl>
    <w:lvl w:ilvl="4" w:tplc="9A486B0C">
      <w:numFmt w:val="bullet"/>
      <w:lvlText w:val="•"/>
      <w:lvlJc w:val="left"/>
      <w:pPr>
        <w:ind w:left="4604" w:hanging="238"/>
      </w:pPr>
      <w:rPr>
        <w:rFonts w:hint="default"/>
      </w:rPr>
    </w:lvl>
    <w:lvl w:ilvl="5" w:tplc="3BCA47DE">
      <w:numFmt w:val="bullet"/>
      <w:lvlText w:val="•"/>
      <w:lvlJc w:val="left"/>
      <w:pPr>
        <w:ind w:left="5580" w:hanging="238"/>
      </w:pPr>
      <w:rPr>
        <w:rFonts w:hint="default"/>
      </w:rPr>
    </w:lvl>
    <w:lvl w:ilvl="6" w:tplc="66AEA7DC">
      <w:numFmt w:val="bullet"/>
      <w:lvlText w:val="•"/>
      <w:lvlJc w:val="left"/>
      <w:pPr>
        <w:ind w:left="6556" w:hanging="238"/>
      </w:pPr>
      <w:rPr>
        <w:rFonts w:hint="default"/>
      </w:rPr>
    </w:lvl>
    <w:lvl w:ilvl="7" w:tplc="4104BA2A">
      <w:numFmt w:val="bullet"/>
      <w:lvlText w:val="•"/>
      <w:lvlJc w:val="left"/>
      <w:pPr>
        <w:ind w:left="7532" w:hanging="238"/>
      </w:pPr>
      <w:rPr>
        <w:rFonts w:hint="default"/>
      </w:rPr>
    </w:lvl>
    <w:lvl w:ilvl="8" w:tplc="87D475C2">
      <w:numFmt w:val="bullet"/>
      <w:lvlText w:val="•"/>
      <w:lvlJc w:val="left"/>
      <w:pPr>
        <w:ind w:left="8508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2DC4"/>
    <w:rsid w:val="00042D03"/>
    <w:rsid w:val="000B515F"/>
    <w:rsid w:val="00293C99"/>
    <w:rsid w:val="003F0DF3"/>
    <w:rsid w:val="00400E41"/>
    <w:rsid w:val="00467071"/>
    <w:rsid w:val="004E4B67"/>
    <w:rsid w:val="00555AEF"/>
    <w:rsid w:val="00566A0E"/>
    <w:rsid w:val="005C3C35"/>
    <w:rsid w:val="005C5CEE"/>
    <w:rsid w:val="007A78A8"/>
    <w:rsid w:val="007D19D0"/>
    <w:rsid w:val="009A0AB4"/>
    <w:rsid w:val="00AC607B"/>
    <w:rsid w:val="00BA2DC4"/>
    <w:rsid w:val="00C0539F"/>
    <w:rsid w:val="00E133E8"/>
    <w:rsid w:val="00E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33"/>
      <w:ind w:left="106"/>
    </w:pPr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33"/>
      <w:ind w:left="106"/>
    </w:pPr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Пользователь</cp:lastModifiedBy>
  <cp:revision>12</cp:revision>
  <dcterms:created xsi:type="dcterms:W3CDTF">2022-06-14T07:47:00Z</dcterms:created>
  <dcterms:modified xsi:type="dcterms:W3CDTF">2022-06-15T06:17:00Z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